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9BE" w:rsidRPr="00B670B8" w:rsidRDefault="00D049BE" w:rsidP="00D049BE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B670B8">
        <w:rPr>
          <w:rFonts w:ascii="Times New Roman" w:hAnsi="Times New Roman"/>
          <w:sz w:val="28"/>
          <w:szCs w:val="28"/>
          <w:lang w:val="kk-KZ"/>
        </w:rPr>
        <w:t>Основные положения проектирония котельной</w:t>
      </w:r>
    </w:p>
    <w:p w:rsidR="00D049BE" w:rsidRPr="00B670B8" w:rsidRDefault="00D049BE" w:rsidP="00D049BE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049BE" w:rsidRPr="00B670B8" w:rsidRDefault="00D049BE" w:rsidP="00D049BE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При проектирование котельных с котлами давлением пара более 0,07МПа и температурой воды более 115°С необходимо соблюдать нормы и требования Правил устройства и безопасной эксплуатации паровых и водогрейных котлов, утвержденных Госгортехнадзором РК.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Проектирование новых строящихся, расширение и реконструкция действующих котельных, предназначенных для теплоснабжения городов и других населенных пунктов, групп предприятий с общими объектами (промышленных узлов) и отдельных крупных промышленных предприятий и сельскохозяйственных комплексов с общей тепловой нагрузкой 100Гкал/час и выше, выполняются на основании утвержденных схем теплоснабжения.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D049BE" w:rsidRDefault="00D049BE" w:rsidP="00D049BE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Назначение и состав котельных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Котельные по назначению подразделяются на:</w:t>
      </w:r>
    </w:p>
    <w:p w:rsidR="00D049BE" w:rsidRDefault="00D049BE" w:rsidP="00D049B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отопительные – для обеспечения теплом систем отопления, вентиляции горячего водоснабжения;</w:t>
      </w:r>
    </w:p>
    <w:p w:rsidR="00D049BE" w:rsidRDefault="00D049BE" w:rsidP="00D049B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отопительные – произвоственные  предназначенные для обеспечения теплом систем отопления, вентиляции горячего водоснабжения и производственных нужд;</w:t>
      </w:r>
    </w:p>
    <w:p w:rsidR="00D049BE" w:rsidRDefault="00D049BE" w:rsidP="00D049B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произвоственные – для снабжения теплом производственных нужд потребителей.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По размещению основного оборудования котельные подразделяются на:</w:t>
      </w:r>
    </w:p>
    <w:p w:rsidR="00D049BE" w:rsidRDefault="00D049BE" w:rsidP="00D049B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отдельностроящие;</w:t>
      </w:r>
    </w:p>
    <w:p w:rsidR="00D049BE" w:rsidRDefault="00D049BE" w:rsidP="00D049B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пристроенные к зданиям другого назначения;</w:t>
      </w:r>
    </w:p>
    <w:p w:rsidR="00D049BE" w:rsidRDefault="00D049BE" w:rsidP="00D049B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встроенные в здания другого назначения независимо от этажа размещения, крышные котельные.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Потребители тепла по надежности теплоснабжения относятся:</w:t>
      </w:r>
    </w:p>
    <w:p w:rsidR="00D049BE" w:rsidRDefault="00D049BE" w:rsidP="00D049B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к первой категории- потребители, нарушение теплоснабжения которых связано с опасностью для жизни людей или со значительным ущербом для жизни (повреждение технологического оборудования, массовый брак продукции);</w:t>
      </w:r>
    </w:p>
    <w:p w:rsidR="00D049BE" w:rsidRDefault="00D049BE" w:rsidP="00D049B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к второй категории – остальные потребители тепла.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Котельные по надежности отпуска тепла потребителям относят:</w:t>
      </w:r>
    </w:p>
    <w:p w:rsidR="00D049BE" w:rsidRDefault="00D049BE" w:rsidP="00D049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- к первой категории – котельные</w:t>
      </w:r>
      <w:r>
        <w:rPr>
          <w:rFonts w:ascii="Times New Roman" w:hAnsi="Times New Roman"/>
          <w:sz w:val="28"/>
          <w:szCs w:val="28"/>
        </w:rPr>
        <w:t>, являющиеся единственным источником тепла и обеспечивающие потребителей первой категории, не имеющих индивидуальные источники тепла;</w:t>
      </w:r>
    </w:p>
    <w:p w:rsidR="00D049BE" w:rsidRDefault="00D049BE" w:rsidP="00D049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/>
          <w:sz w:val="28"/>
          <w:szCs w:val="28"/>
        </w:rPr>
        <w:t>к</w:t>
      </w:r>
      <w:proofErr w:type="gramEnd"/>
      <w:r>
        <w:rPr>
          <w:rFonts w:ascii="Times New Roman" w:hAnsi="Times New Roman"/>
          <w:sz w:val="28"/>
          <w:szCs w:val="28"/>
        </w:rPr>
        <w:t xml:space="preserve"> второй категории остальные котельные.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Тепловые нагрузки для расчета и выбора оборудования котельных должны определяться для трех характерных режимов:</w:t>
      </w:r>
    </w:p>
    <w:p w:rsidR="00D049BE" w:rsidRDefault="00D049BE" w:rsidP="00D049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максимально </w:t>
      </w:r>
      <w:proofErr w:type="gramStart"/>
      <w:r>
        <w:rPr>
          <w:rFonts w:ascii="Times New Roman" w:hAnsi="Times New Roman"/>
          <w:sz w:val="28"/>
          <w:szCs w:val="28"/>
        </w:rPr>
        <w:t>зимний</w:t>
      </w:r>
      <w:proofErr w:type="gramEnd"/>
      <w:r>
        <w:rPr>
          <w:rFonts w:ascii="Times New Roman" w:hAnsi="Times New Roman"/>
          <w:sz w:val="28"/>
          <w:szCs w:val="28"/>
        </w:rPr>
        <w:t xml:space="preserve"> – при средней температуре наружного воздуха в наиболее холодную пятидневку;</w:t>
      </w:r>
    </w:p>
    <w:p w:rsidR="00D049BE" w:rsidRDefault="00D049BE" w:rsidP="00D049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 точке излома графика температуры – при температуре наружного воздуха 8</w:t>
      </w:r>
      <w:proofErr w:type="gramStart"/>
      <w:r>
        <w:rPr>
          <w:rFonts w:ascii="Times New Roman" w:hAnsi="Times New Roman"/>
          <w:sz w:val="28"/>
          <w:szCs w:val="28"/>
        </w:rPr>
        <w:t>°С</w:t>
      </w:r>
      <w:proofErr w:type="gramEnd"/>
      <w:r>
        <w:rPr>
          <w:rFonts w:ascii="Times New Roman" w:hAnsi="Times New Roman"/>
          <w:sz w:val="28"/>
          <w:szCs w:val="28"/>
        </w:rPr>
        <w:t xml:space="preserve"> (для отопительных котельных);</w:t>
      </w:r>
    </w:p>
    <w:p w:rsidR="00D049BE" w:rsidRDefault="00D049BE" w:rsidP="00D049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/>
          <w:sz w:val="28"/>
          <w:szCs w:val="28"/>
        </w:rPr>
        <w:t>летний</w:t>
      </w:r>
      <w:proofErr w:type="gramEnd"/>
      <w:r>
        <w:rPr>
          <w:rFonts w:ascii="Times New Roman" w:hAnsi="Times New Roman"/>
          <w:sz w:val="28"/>
          <w:szCs w:val="28"/>
        </w:rPr>
        <w:t xml:space="preserve"> – определяемый величинами расхода теплоты на технологические цели и горячее водоснабжение.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Указанные средние и расчеты температуры наружного воздуха принимаются в соответствии со СНиП по строительной климатологии и геофизике и по проектированию отопления, вентиляции и кондиционирования воздуха.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теплоснабжения зданий и сооружений, имеющих дежурное отопление, или в работе </w:t>
      </w:r>
      <w:proofErr w:type="gramStart"/>
      <w:r>
        <w:rPr>
          <w:rFonts w:ascii="Times New Roman" w:hAnsi="Times New Roman"/>
          <w:sz w:val="28"/>
          <w:szCs w:val="28"/>
        </w:rPr>
        <w:t>систем</w:t>
      </w:r>
      <w:proofErr w:type="gramEnd"/>
      <w:r>
        <w:rPr>
          <w:rFonts w:ascii="Times New Roman" w:hAnsi="Times New Roman"/>
          <w:sz w:val="28"/>
          <w:szCs w:val="28"/>
        </w:rPr>
        <w:t xml:space="preserve"> отопления которых допускаются перерывы, следует предусматривать возможность работы оборудования котельной при этих условиях.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Расчетная производительность котельной определяются суммой часовых расходов на отопление и вентиляцию при максимально – зимнем режиме, расчетных расходов тепла на горячее водоснабжение, определяемых в соответствие со СНиП по проектированию горячего водоснабжения и расчетных расходов тепла на технологические цели с учетом не совпадения максимальных расходов теплоты отдельными технологическими потребителями.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При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определений</w:t>
      </w:r>
      <w:proofErr w:type="gramEnd"/>
      <w:r>
        <w:rPr>
          <w:rFonts w:ascii="Times New Roman" w:hAnsi="Times New Roman"/>
          <w:sz w:val="28"/>
          <w:szCs w:val="28"/>
        </w:rPr>
        <w:t xml:space="preserve"> расчетной производительности котельной должны учитываться расходы на собственные нужды котельной и потери теплоты в котельной и в тепловых сетях.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Количество и единичную производительность котлоагрегатов, </w:t>
      </w:r>
      <w:proofErr w:type="gramStart"/>
      <w:r>
        <w:rPr>
          <w:rFonts w:ascii="Times New Roman" w:hAnsi="Times New Roman"/>
          <w:sz w:val="28"/>
          <w:szCs w:val="28"/>
        </w:rPr>
        <w:t>устанавливаемых</w:t>
      </w:r>
      <w:proofErr w:type="gramEnd"/>
      <w:r>
        <w:rPr>
          <w:rFonts w:ascii="Times New Roman" w:hAnsi="Times New Roman"/>
          <w:sz w:val="28"/>
          <w:szCs w:val="28"/>
        </w:rPr>
        <w:t xml:space="preserve"> в котельной, следует выбирать по расчетной производительности котельной, проверяя режим работы котлоагрегатов для теплого периода года; при этом в случае выхода из строя наибольшего по производительности котла в котельной предусматривается включение резервного котлоагрегата.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Максимальное количество котлов и максимальная производительность отдельных агрегатов, устанавливаемых в котельной, определяется на основании </w:t>
      </w:r>
      <w:proofErr w:type="gramStart"/>
      <w:r>
        <w:rPr>
          <w:rFonts w:ascii="Times New Roman" w:hAnsi="Times New Roman"/>
          <w:sz w:val="28"/>
          <w:szCs w:val="28"/>
        </w:rPr>
        <w:t>технико – экономических</w:t>
      </w:r>
      <w:proofErr w:type="gramEnd"/>
      <w:r>
        <w:rPr>
          <w:rFonts w:ascii="Times New Roman" w:hAnsi="Times New Roman"/>
          <w:sz w:val="28"/>
          <w:szCs w:val="28"/>
        </w:rPr>
        <w:t xml:space="preserve"> расчетов.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котельной должна предусматриваться установка не менее двух котлов, за исключением производственных котельных второй категории, в которых допускается установка одного котла.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проектах котельных должны предусматриваться:</w:t>
      </w:r>
    </w:p>
    <w:p w:rsidR="00D049BE" w:rsidRDefault="00D049BE" w:rsidP="00D049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котлы, экономайзеры, воздухоподогреватели, золоуловители и другое оборудование в блочном транспортабельном исполнении повышенной заводской и монтажной готовности. Блоки повышенной монтажной готовности должны разрабатываться укрупнением групп технологически связанного между собой вспомогательного оборудования путем компоновки его совместно с трубопроводами, арматурой, контрольно измерительными приборами КИП, электротехническим оборудованием и тепловой изоляцией на опорной металлической раме.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Вне зданий котельных, на открытых площадках, допускается размещение тягодутьевых машин, золоуловителей, деаэраторов, декарбонизаторов, осветителей, баков различных назначений, подогревателей мазута; при этом предусматривается по обеспечению надежной и безопасной эксплуатаций, защиту от замерзания трубопроводов и арматуры, а также мероприятия по охране окружающей среды от загрязнения.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северных и восточных районов РК, где расчетная температура для отопления ниже - 30</w:t>
      </w:r>
      <w:proofErr w:type="gramStart"/>
      <w:r>
        <w:rPr>
          <w:rFonts w:ascii="Times New Roman" w:hAnsi="Times New Roman"/>
          <w:sz w:val="28"/>
          <w:szCs w:val="28"/>
        </w:rPr>
        <w:t>°С</w:t>
      </w:r>
      <w:proofErr w:type="gramEnd"/>
      <w:r>
        <w:rPr>
          <w:rFonts w:ascii="Times New Roman" w:hAnsi="Times New Roman"/>
          <w:sz w:val="28"/>
          <w:szCs w:val="28"/>
        </w:rPr>
        <w:t>, и для районов пылевых бурь, открытая установка оборудования допускается, если это предусмотрено техническими условиями заводы изготовителя.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Технологическая схема и компоновка оборудования котельной должны обеспечить:</w:t>
      </w:r>
    </w:p>
    <w:p w:rsidR="00D049BE" w:rsidRDefault="00D049BE" w:rsidP="00D049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оптимальную механизацию и автоматизацию технологических процессов, безопасное и удобное обслуживание оборудования;</w:t>
      </w:r>
    </w:p>
    <w:p w:rsidR="00D049BE" w:rsidRDefault="00D049BE" w:rsidP="00D049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установку оборудования по очереди;</w:t>
      </w:r>
    </w:p>
    <w:p w:rsidR="00D049BE" w:rsidRDefault="00D049BE" w:rsidP="00D049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наименьшую протяженность коммутаций, возможность транспортирования узлов оборудования и трубопроводов в котельной надземным транспортом при производстве ремонтных работ.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Автоматизация технологических процессов индивидуальных котельных должна обеспечить безопасную эксплуатацию без постоянного обслуживающего персонала.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котельных предусматривается ремонтные участки или помещения для проведения текущего ремонта оборудования, арматуры, приборов контроля и регулирования. При этом учитывается возможность выполнения работ по текущему ремонту указанного оборудования промышленными предприятиями или районными специализированными организациями.</w:t>
      </w:r>
    </w:p>
    <w:p w:rsidR="00D049BE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Размещение котлов и вспомогательного оборудования в котельных, т.е. расстояние между котлами и строительными конструкциями, ширина проходов, а так же устройство площадок и лестниц для обслуживания оборудования, независимо от параметров теплоносителя, предусматривают в соответствии с Правилами устройства и безопасной эксплуатаций паровых и водогрейных котлов, утвержденных Госгортехнадзором РК и Нормами технологического проектирования малометражных отопительных котлов. </w:t>
      </w:r>
      <w:proofErr w:type="gramEnd"/>
    </w:p>
    <w:p w:rsidR="00D049BE" w:rsidRPr="00420309" w:rsidRDefault="00D049BE" w:rsidP="00D049B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D049BE"/>
    <w:rsid w:val="0093149C"/>
    <w:rsid w:val="00B64926"/>
    <w:rsid w:val="00CB5CAB"/>
    <w:rsid w:val="00D049BE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9BE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CAB"/>
    <w:pPr>
      <w:keepNext/>
      <w:suppressAutoHyphens/>
      <w:spacing w:after="0" w:line="240" w:lineRule="auto"/>
      <w:jc w:val="both"/>
      <w:outlineLvl w:val="0"/>
    </w:pPr>
    <w:rPr>
      <w:rFonts w:ascii="Times New Roman" w:eastAsia="Times New Roman" w:hAnsi="Times New Roman"/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 w:line="240" w:lineRule="auto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973</Words>
  <Characters>5547</Characters>
  <Application>Microsoft Office Word</Application>
  <DocSecurity>0</DocSecurity>
  <Lines>46</Lines>
  <Paragraphs>13</Paragraphs>
  <ScaleCrop>false</ScaleCrop>
  <Company/>
  <LinksUpToDate>false</LinksUpToDate>
  <CharactersWithSpaces>6507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2020-10-11T14:24:00Z</dcterms:created>
  <dcterms:modified xsi:type="dcterms:W3CDTF">2020-10-11T14:25:00Z</dcterms:modified>
</cp:coreProperties>
</file>